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8E" w:rsidRPr="00CE7A8E" w:rsidRDefault="00CE7A8E" w:rsidP="00CE7A8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CE7A8E">
        <w:rPr>
          <w:rFonts w:ascii="Times New Roman" w:eastAsia="Times New Roman" w:hAnsi="Times New Roman" w:cs="Times New Roman"/>
          <w:b/>
          <w:bCs/>
          <w:kern w:val="36"/>
          <w:sz w:val="48"/>
          <w:szCs w:val="48"/>
          <w:lang w:eastAsia="es-MX"/>
        </w:rPr>
        <w:t>Libros de registro de los asuntos jurisdiccionales</w:t>
      </w:r>
    </w:p>
    <w:p w:rsidR="00CE7A8E" w:rsidRPr="00CE7A8E" w:rsidRDefault="00CE7A8E" w:rsidP="009868F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7A8E">
        <w:rPr>
          <w:rFonts w:ascii="Arial" w:eastAsia="Times New Roman" w:hAnsi="Arial" w:cs="Arial"/>
          <w:b/>
          <w:bCs/>
          <w:sz w:val="27"/>
          <w:szCs w:val="27"/>
          <w:lang w:eastAsia="es-MX"/>
        </w:rPr>
        <w:t> </w:t>
      </w:r>
      <w:bookmarkStart w:id="0" w:name="_GoBack"/>
      <w:bookmarkEnd w:id="0"/>
    </w:p>
    <w:p w:rsidR="00CE7A8E" w:rsidRPr="00CE7A8E" w:rsidRDefault="00CE7A8E" w:rsidP="009868F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7A8E">
        <w:rPr>
          <w:rFonts w:ascii="Arial" w:eastAsia="Times New Roman" w:hAnsi="Arial" w:cs="Arial"/>
          <w:sz w:val="24"/>
          <w:szCs w:val="24"/>
          <w:lang w:eastAsia="es-MX"/>
        </w:rPr>
        <w:t>Las libretas y demás i</w:t>
      </w:r>
      <w:r w:rsidR="009868FE">
        <w:rPr>
          <w:rFonts w:ascii="Arial" w:eastAsia="Times New Roman" w:hAnsi="Arial" w:cs="Arial"/>
          <w:sz w:val="24"/>
          <w:szCs w:val="24"/>
          <w:lang w:eastAsia="es-MX"/>
        </w:rPr>
        <w:t>nstrumentos de registro de los expedientes, como el libro de g</w:t>
      </w:r>
      <w:r w:rsidRPr="00CE7A8E">
        <w:rPr>
          <w:rFonts w:ascii="Arial" w:eastAsia="Times New Roman" w:hAnsi="Arial" w:cs="Arial"/>
          <w:sz w:val="24"/>
          <w:szCs w:val="24"/>
          <w:lang w:eastAsia="es-MX"/>
        </w:rPr>
        <w:t>obierno o las libretas de actuarios, se encuentran a libre disposición de los interesados y del público en general para su consulta, en las</w:t>
      </w:r>
      <w:r w:rsidR="009868FE">
        <w:rPr>
          <w:rFonts w:ascii="Arial" w:eastAsia="Times New Roman" w:hAnsi="Arial" w:cs="Arial"/>
          <w:sz w:val="24"/>
          <w:szCs w:val="24"/>
          <w:lang w:eastAsia="es-MX"/>
        </w:rPr>
        <w:t xml:space="preserve"> Ponencias de la Sala Superior, Salas Unitarias y en Secretaría General de Acuerdos, mismos que están </w:t>
      </w:r>
      <w:r w:rsidRPr="00CE7A8E">
        <w:rPr>
          <w:rFonts w:ascii="Arial" w:eastAsia="Times New Roman" w:hAnsi="Arial" w:cs="Arial"/>
          <w:sz w:val="24"/>
          <w:szCs w:val="24"/>
          <w:lang w:eastAsia="es-MX"/>
        </w:rPr>
        <w:t xml:space="preserve">en poder de cualquiera de los Servidores Públicos que laboran en </w:t>
      </w:r>
      <w:r w:rsidR="009868FE">
        <w:rPr>
          <w:rFonts w:ascii="Arial" w:eastAsia="Times New Roman" w:hAnsi="Arial" w:cs="Arial"/>
          <w:sz w:val="24"/>
          <w:szCs w:val="24"/>
          <w:lang w:eastAsia="es-MX"/>
        </w:rPr>
        <w:t>dichas áreas</w:t>
      </w:r>
      <w:r w:rsidRPr="00CE7A8E">
        <w:rPr>
          <w:rFonts w:ascii="Arial" w:eastAsia="Times New Roman" w:hAnsi="Arial" w:cs="Arial"/>
          <w:sz w:val="24"/>
          <w:szCs w:val="24"/>
          <w:lang w:eastAsia="es-MX"/>
        </w:rPr>
        <w:t>, ya que por su naturaleza no están en un lugar específico</w:t>
      </w:r>
      <w:r w:rsidR="009868FE">
        <w:rPr>
          <w:rFonts w:ascii="Arial" w:eastAsia="Times New Roman" w:hAnsi="Arial" w:cs="Arial"/>
          <w:sz w:val="24"/>
          <w:szCs w:val="24"/>
          <w:lang w:eastAsia="es-MX"/>
        </w:rPr>
        <w:t>;</w:t>
      </w:r>
      <w:r w:rsidRPr="00CE7A8E">
        <w:rPr>
          <w:rFonts w:ascii="Arial" w:eastAsia="Times New Roman" w:hAnsi="Arial" w:cs="Arial"/>
          <w:sz w:val="24"/>
          <w:szCs w:val="24"/>
          <w:lang w:eastAsia="es-MX"/>
        </w:rPr>
        <w:t xml:space="preserve"> por lo que los Auxiliares de cada </w:t>
      </w:r>
      <w:r w:rsidR="009868FE">
        <w:rPr>
          <w:rFonts w:ascii="Arial" w:eastAsia="Times New Roman" w:hAnsi="Arial" w:cs="Arial"/>
          <w:sz w:val="24"/>
          <w:szCs w:val="24"/>
          <w:lang w:eastAsia="es-MX"/>
        </w:rPr>
        <w:t xml:space="preserve">Ponencia, </w:t>
      </w:r>
      <w:r w:rsidRPr="00CE7A8E">
        <w:rPr>
          <w:rFonts w:ascii="Arial" w:eastAsia="Times New Roman" w:hAnsi="Arial" w:cs="Arial"/>
          <w:sz w:val="24"/>
          <w:szCs w:val="24"/>
          <w:lang w:eastAsia="es-MX"/>
        </w:rPr>
        <w:t>Sala y de la Secretaría General de Acuerdos, proporcionarán la información de donde se encuentran dichos documentos para su consulta, esto en razón de que dentro de las mismas se contiene información de carácter fundamental y de libre acceso de conformidad con el artículo 11 fracción VII de la Ley de Transparencia y Acceso a la Información Pública del Estado de Jalisco y sus Municipios.</w:t>
      </w:r>
    </w:p>
    <w:p w:rsidR="00CE7A8E" w:rsidRPr="00CE7A8E" w:rsidRDefault="00CE7A8E" w:rsidP="009868F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E7A8E">
        <w:rPr>
          <w:rFonts w:ascii="Arial" w:eastAsia="Times New Roman" w:hAnsi="Arial" w:cs="Arial"/>
          <w:sz w:val="24"/>
          <w:szCs w:val="24"/>
          <w:lang w:eastAsia="es-MX"/>
        </w:rPr>
        <w:t xml:space="preserve">Asimismo se pueden consultar todos los </w:t>
      </w:r>
      <w:r w:rsidR="009868FE">
        <w:rPr>
          <w:rFonts w:ascii="Arial" w:eastAsia="Times New Roman" w:hAnsi="Arial" w:cs="Arial"/>
          <w:sz w:val="24"/>
          <w:szCs w:val="24"/>
          <w:lang w:eastAsia="es-MX"/>
        </w:rPr>
        <w:t xml:space="preserve">acuerdos emitidos dentro de los </w:t>
      </w:r>
      <w:r w:rsidR="003C0730">
        <w:rPr>
          <w:rFonts w:ascii="Arial" w:eastAsia="Times New Roman" w:hAnsi="Arial" w:cs="Arial"/>
          <w:sz w:val="24"/>
          <w:szCs w:val="24"/>
          <w:lang w:eastAsia="es-MX"/>
        </w:rPr>
        <w:t>expedientes en el boletín de acuerdos</w:t>
      </w:r>
      <w:r w:rsidRPr="00CE7A8E">
        <w:rPr>
          <w:rFonts w:ascii="Arial" w:eastAsia="Times New Roman" w:hAnsi="Arial" w:cs="Arial"/>
          <w:sz w:val="24"/>
          <w:szCs w:val="24"/>
          <w:lang w:eastAsia="es-MX"/>
        </w:rPr>
        <w:t xml:space="preserve">, con el fin de </w:t>
      </w:r>
      <w:r w:rsidR="003C0730">
        <w:rPr>
          <w:rFonts w:ascii="Arial" w:eastAsia="Times New Roman" w:hAnsi="Arial" w:cs="Arial"/>
          <w:sz w:val="24"/>
          <w:szCs w:val="24"/>
          <w:lang w:eastAsia="es-MX"/>
        </w:rPr>
        <w:t xml:space="preserve">informar a la ciudadanía el estatus </w:t>
      </w:r>
      <w:r w:rsidRPr="00CE7A8E">
        <w:rPr>
          <w:rFonts w:ascii="Arial" w:eastAsia="Times New Roman" w:hAnsi="Arial" w:cs="Arial"/>
          <w:sz w:val="24"/>
          <w:szCs w:val="24"/>
          <w:lang w:eastAsia="es-MX"/>
        </w:rPr>
        <w:t>de los mismos.</w:t>
      </w:r>
    </w:p>
    <w:p w:rsidR="00587EA0" w:rsidRDefault="00587EA0"/>
    <w:sectPr w:rsidR="00587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8E"/>
    <w:rsid w:val="003C0730"/>
    <w:rsid w:val="00587EA0"/>
    <w:rsid w:val="009868FE"/>
    <w:rsid w:val="00CE7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9B782-9F75-41EC-B999-F70C7B90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E7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7A8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CE7A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E7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TR-JEFETRAN</dc:creator>
  <cp:keywords/>
  <dc:description/>
  <cp:lastModifiedBy>TR-JEFETRAN</cp:lastModifiedBy>
  <cp:revision>2</cp:revision>
  <dcterms:created xsi:type="dcterms:W3CDTF">2018-03-21T16:49:00Z</dcterms:created>
  <dcterms:modified xsi:type="dcterms:W3CDTF">2018-03-21T16:49:00Z</dcterms:modified>
</cp:coreProperties>
</file>