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752" w:rsidRPr="00E32D0F" w:rsidRDefault="004D5752" w:rsidP="004D5752">
      <w:pPr>
        <w:suppressAutoHyphens/>
        <w:spacing w:after="0" w:line="240" w:lineRule="auto"/>
        <w:ind w:right="618"/>
        <w:jc w:val="both"/>
        <w:rPr>
          <w:rFonts w:ascii="Century Gothic" w:eastAsia="Times New Roman" w:hAnsi="Century Gothic" w:cs="Arial"/>
          <w:b/>
          <w:sz w:val="24"/>
          <w:szCs w:val="24"/>
          <w:lang w:eastAsia="ar-SA"/>
        </w:rPr>
      </w:pPr>
      <w:r>
        <w:rPr>
          <w:rFonts w:ascii="Century Gothic" w:eastAsia="Times New Roman" w:hAnsi="Century Gothic" w:cs="Arial"/>
          <w:b/>
          <w:sz w:val="24"/>
          <w:szCs w:val="24"/>
          <w:lang w:eastAsia="ar-SA"/>
        </w:rPr>
        <w:t xml:space="preserve">SEGUNDA ÉPOCA </w:t>
      </w:r>
    </w:p>
    <w:p w:rsidR="004D5752" w:rsidRDefault="004D5752" w:rsidP="004D5752">
      <w:pPr>
        <w:tabs>
          <w:tab w:val="left" w:pos="6946"/>
        </w:tabs>
        <w:suppressAutoHyphens/>
        <w:spacing w:after="0" w:line="240" w:lineRule="auto"/>
        <w:ind w:right="618"/>
        <w:jc w:val="both"/>
        <w:rPr>
          <w:rFonts w:ascii="Century Gothic" w:eastAsia="Times New Roman" w:hAnsi="Century Gothic" w:cs="Times New Roman"/>
          <w:lang w:eastAsia="ar-SA"/>
        </w:rPr>
      </w:pPr>
      <w:r>
        <w:rPr>
          <w:rFonts w:ascii="Century Gothic" w:eastAsia="Times New Roman" w:hAnsi="Century Gothic" w:cs="Times New Roman"/>
          <w:lang w:eastAsia="ar-SA"/>
        </w:rPr>
        <w:t>Número de Registro 4/10ORD/SS/JA</w:t>
      </w:r>
    </w:p>
    <w:p w:rsidR="004D5752" w:rsidRDefault="004D5752" w:rsidP="004D5752">
      <w:pPr>
        <w:tabs>
          <w:tab w:val="left" w:pos="6946"/>
        </w:tabs>
        <w:suppressAutoHyphens/>
        <w:spacing w:after="0" w:line="240" w:lineRule="auto"/>
        <w:ind w:right="618"/>
        <w:jc w:val="both"/>
        <w:rPr>
          <w:rFonts w:ascii="Century Gothic" w:eastAsia="Times New Roman" w:hAnsi="Century Gothic" w:cs="Times New Roman"/>
          <w:lang w:eastAsia="ar-SA"/>
        </w:rPr>
      </w:pPr>
      <w:r>
        <w:rPr>
          <w:rFonts w:ascii="Century Gothic" w:eastAsia="Times New Roman" w:hAnsi="Century Gothic" w:cs="Times New Roman"/>
          <w:lang w:eastAsia="ar-SA"/>
        </w:rPr>
        <w:t>Jurisprudencia</w:t>
      </w:r>
    </w:p>
    <w:p w:rsidR="004D5752" w:rsidRDefault="004D5752" w:rsidP="004D5752">
      <w:pPr>
        <w:tabs>
          <w:tab w:val="left" w:pos="6946"/>
        </w:tabs>
        <w:suppressAutoHyphens/>
        <w:spacing w:after="0" w:line="240" w:lineRule="auto"/>
        <w:ind w:right="618"/>
        <w:jc w:val="both"/>
        <w:rPr>
          <w:rFonts w:ascii="Century Gothic" w:eastAsia="Times New Roman" w:hAnsi="Century Gothic" w:cs="Times New Roman"/>
          <w:lang w:eastAsia="ar-SA"/>
        </w:rPr>
      </w:pPr>
      <w:r>
        <w:rPr>
          <w:rFonts w:ascii="Century Gothic" w:eastAsia="Times New Roman" w:hAnsi="Century Gothic" w:cs="Times New Roman"/>
          <w:lang w:eastAsia="ar-SA"/>
        </w:rPr>
        <w:t>Tomo I 2019</w:t>
      </w:r>
    </w:p>
    <w:p w:rsidR="004D5752" w:rsidRDefault="004D5752" w:rsidP="004D5752">
      <w:pPr>
        <w:tabs>
          <w:tab w:val="left" w:pos="6946"/>
        </w:tabs>
        <w:suppressAutoHyphens/>
        <w:spacing w:after="0" w:line="240" w:lineRule="auto"/>
        <w:ind w:right="618"/>
        <w:jc w:val="both"/>
        <w:rPr>
          <w:rFonts w:ascii="Century Gothic" w:eastAsia="Times New Roman" w:hAnsi="Century Gothic" w:cs="Times New Roman"/>
          <w:lang w:eastAsia="ar-SA"/>
        </w:rPr>
      </w:pPr>
    </w:p>
    <w:p w:rsidR="004D5752" w:rsidRDefault="004D5752" w:rsidP="004D5752">
      <w:pPr>
        <w:tabs>
          <w:tab w:val="left" w:pos="6946"/>
        </w:tabs>
        <w:suppressAutoHyphens/>
        <w:spacing w:after="0" w:line="240" w:lineRule="auto"/>
        <w:ind w:left="567" w:right="618"/>
        <w:jc w:val="both"/>
        <w:rPr>
          <w:rFonts w:ascii="Century Gothic" w:eastAsia="Times New Roman" w:hAnsi="Century Gothic" w:cs="Times New Roman"/>
          <w:lang w:eastAsia="ar-SA"/>
        </w:rPr>
      </w:pPr>
    </w:p>
    <w:p w:rsidR="004D5752" w:rsidRPr="00E32D0F" w:rsidRDefault="004D5752" w:rsidP="004D5752">
      <w:pPr>
        <w:suppressAutoHyphens/>
        <w:spacing w:after="0" w:line="276" w:lineRule="auto"/>
        <w:ind w:right="-91"/>
        <w:jc w:val="both"/>
        <w:rPr>
          <w:rFonts w:ascii="Century Gothic" w:eastAsia="Times New Roman" w:hAnsi="Century Gothic" w:cs="Times New Roman"/>
          <w:b/>
          <w:lang w:eastAsia="ar-SA"/>
        </w:rPr>
      </w:pPr>
    </w:p>
    <w:p w:rsidR="004D5752" w:rsidRPr="00E32D0F" w:rsidRDefault="004D5752" w:rsidP="004D5752">
      <w:pPr>
        <w:spacing w:after="0" w:line="360" w:lineRule="auto"/>
        <w:ind w:right="-91"/>
        <w:jc w:val="both"/>
        <w:rPr>
          <w:rFonts w:ascii="Century Gothic" w:eastAsia="Times New Roman" w:hAnsi="Century Gothic" w:cs="Calibri"/>
          <w:lang w:val="es-ES" w:eastAsia="es-MX"/>
        </w:rPr>
      </w:pPr>
      <w:r w:rsidRPr="00E32D0F">
        <w:rPr>
          <w:rFonts w:ascii="Century Gothic" w:eastAsia="Times New Roman" w:hAnsi="Century Gothic" w:cs="Times New Roman"/>
          <w:b/>
          <w:lang w:val="es-ES" w:eastAsia="es-ES"/>
        </w:rPr>
        <w:t>JUICIO ADMINISTRATIVO.</w:t>
      </w:r>
      <w:r w:rsidRPr="00E32D0F">
        <w:rPr>
          <w:rFonts w:ascii="Century Gothic" w:eastAsia="Times New Roman" w:hAnsi="Century Gothic" w:cs="Calibri"/>
          <w:b/>
          <w:lang w:val="es-ES" w:eastAsia="es-MX"/>
        </w:rPr>
        <w:t xml:space="preserve"> LA COPIA SIMPLE DEL ACTO DE AUTORIDAD ACREDITA </w:t>
      </w:r>
      <w:r>
        <w:rPr>
          <w:rFonts w:ascii="Century Gothic" w:eastAsia="Times New Roman" w:hAnsi="Century Gothic" w:cs="Calibri"/>
          <w:b/>
          <w:lang w:val="es-ES" w:eastAsia="es-MX"/>
        </w:rPr>
        <w:t xml:space="preserve">PRESUNTIVAMENTE </w:t>
      </w:r>
      <w:r w:rsidRPr="00E32D0F">
        <w:rPr>
          <w:rFonts w:ascii="Century Gothic" w:eastAsia="Times New Roman" w:hAnsi="Century Gothic" w:cs="Calibri"/>
          <w:b/>
          <w:lang w:val="es-ES" w:eastAsia="es-MX"/>
        </w:rPr>
        <w:t>EL INTERÉS JURÍDICO DE LA PARTE ACTORA PARA INTERPONERLO.</w:t>
      </w:r>
      <w:r w:rsidRPr="00E32D0F">
        <w:rPr>
          <w:rFonts w:ascii="Century Gothic" w:eastAsia="Times New Roman" w:hAnsi="Century Gothic" w:cs="Calibri"/>
          <w:lang w:val="es-ES" w:eastAsia="es-MX"/>
        </w:rPr>
        <w:t xml:space="preserve"> Si bien es cierto, que conforme a la jurisprudencia 2a./J. 21/98, de rubro INTERÉS JURÍDICO EN EL AMPARO. LAS COPIAS FOTOSTÁTICAS SIMPLES, POR SÍ SOLAS, NO LO ACREDITAN, emitida por la Segunda Sala de la Suprema Corte de Justicia de la Nación, las </w:t>
      </w:r>
      <w:r w:rsidRPr="00E32D0F">
        <w:rPr>
          <w:rFonts w:ascii="Century Gothic" w:eastAsia="Times New Roman" w:hAnsi="Century Gothic" w:cs="Calibri"/>
          <w:bCs/>
          <w:lang w:val="es-ES" w:eastAsia="es-MX"/>
        </w:rPr>
        <w:t>copias</w:t>
      </w:r>
      <w:r w:rsidRPr="00E32D0F">
        <w:rPr>
          <w:rFonts w:ascii="Century Gothic" w:eastAsia="Times New Roman" w:hAnsi="Century Gothic" w:cs="Calibri"/>
          <w:lang w:val="es-ES" w:eastAsia="es-MX"/>
        </w:rPr>
        <w:t> </w:t>
      </w:r>
      <w:r w:rsidRPr="00E32D0F">
        <w:rPr>
          <w:rFonts w:ascii="Century Gothic" w:eastAsia="Times New Roman" w:hAnsi="Century Gothic" w:cs="Calibri"/>
          <w:bCs/>
          <w:lang w:val="es-ES" w:eastAsia="es-MX"/>
        </w:rPr>
        <w:t>simples</w:t>
      </w:r>
      <w:r w:rsidRPr="00E32D0F">
        <w:rPr>
          <w:rFonts w:ascii="Century Gothic" w:eastAsia="Times New Roman" w:hAnsi="Century Gothic" w:cs="Calibri"/>
          <w:lang w:val="es-ES" w:eastAsia="es-MX"/>
        </w:rPr>
        <w:t xml:space="preserve"> carecen por sí mismas de valor probatorio pleno, lo cierto es que éstas generan la presunción de existencia de los documentos que reproducen; en tal tesitura, si de las pruebas exhibidas en copia simple se presume la existencia del acto de autoridad que se pretende anular, debe concluirse que dichas constancias son suficientes para tener por acreditado el interés jurídico de la parte actora para interponer juicio administrativo y por satisfecho el requisito contemplado en el artículo 36, fracción III de la Ley de Justicia Administrativa del Estado de Jalisco.  </w:t>
      </w:r>
    </w:p>
    <w:p w:rsidR="004D5752" w:rsidRPr="00E32D0F" w:rsidRDefault="004D5752" w:rsidP="004D5752">
      <w:pPr>
        <w:spacing w:after="0" w:line="360" w:lineRule="auto"/>
        <w:ind w:right="-91"/>
        <w:jc w:val="both"/>
        <w:rPr>
          <w:rFonts w:ascii="Century Gothic" w:eastAsia="Times New Roman" w:hAnsi="Century Gothic" w:cs="Times New Roman"/>
          <w:lang w:eastAsia="ar-SA"/>
        </w:rPr>
      </w:pPr>
    </w:p>
    <w:p w:rsidR="004D5752" w:rsidRPr="00E32D0F" w:rsidRDefault="004D5752" w:rsidP="004D5752">
      <w:pPr>
        <w:spacing w:after="0" w:line="240" w:lineRule="auto"/>
        <w:ind w:right="-91"/>
        <w:jc w:val="both"/>
        <w:rPr>
          <w:rFonts w:ascii="Century Gothic" w:eastAsia="Times New Roman" w:hAnsi="Century Gothic" w:cs="Calibri"/>
          <w:lang w:val="es-ES" w:eastAsia="es-MX"/>
        </w:rPr>
      </w:pPr>
      <w:r w:rsidRPr="00E32D0F">
        <w:rPr>
          <w:rFonts w:ascii="Century Gothic" w:eastAsia="Times New Roman" w:hAnsi="Century Gothic" w:cs="Times New Roman"/>
          <w:lang w:eastAsia="ar-SA"/>
        </w:rPr>
        <w:t>PRECEDENTES:</w:t>
      </w:r>
      <w:r w:rsidRPr="00E32D0F">
        <w:rPr>
          <w:rFonts w:ascii="Century Gothic" w:eastAsia="Times New Roman" w:hAnsi="Century Gothic" w:cs="Times New Roman"/>
          <w:lang w:eastAsia="ar-SA"/>
        </w:rPr>
        <w:br/>
      </w:r>
    </w:p>
    <w:p w:rsidR="004D5752" w:rsidRPr="00E32D0F" w:rsidRDefault="004D5752" w:rsidP="004D5752">
      <w:pPr>
        <w:suppressAutoHyphens/>
        <w:spacing w:after="0" w:line="240" w:lineRule="auto"/>
        <w:ind w:right="-91"/>
        <w:jc w:val="both"/>
        <w:rPr>
          <w:rFonts w:ascii="Century Gothic" w:eastAsia="Times New Roman" w:hAnsi="Century Gothic" w:cs="Times New Roman"/>
          <w:lang w:eastAsia="ar-SA"/>
        </w:rPr>
      </w:pPr>
      <w:r w:rsidRPr="00E32D0F">
        <w:rPr>
          <w:rFonts w:ascii="Century Gothic" w:eastAsia="Times New Roman" w:hAnsi="Century Gothic" w:cs="Times New Roman"/>
          <w:lang w:eastAsia="ar-SA"/>
        </w:rPr>
        <w:t>Recurso de Reclamación Núm. 076/2018.- Resuelto por la Sala Superior del Tribunal de Justicia Administrativa del Estado de Jalisco, en sesión de 09 de agosto de 2018, por unanimidad de votos. Magistrado Ponente: José Ramón Jiménez Gutiérrez. Secretario: Miguel Ángel García Domínguez.</w:t>
      </w:r>
    </w:p>
    <w:p w:rsidR="004D5752" w:rsidRPr="00E32D0F" w:rsidRDefault="004D5752" w:rsidP="004D5752">
      <w:pPr>
        <w:suppressAutoHyphens/>
        <w:spacing w:after="0" w:line="240" w:lineRule="auto"/>
        <w:ind w:right="-91"/>
        <w:jc w:val="both"/>
        <w:rPr>
          <w:rFonts w:ascii="Century Gothic" w:eastAsia="Times New Roman" w:hAnsi="Century Gothic" w:cs="Times New Roman"/>
          <w:lang w:eastAsia="ar-SA"/>
        </w:rPr>
      </w:pPr>
    </w:p>
    <w:p w:rsidR="004D5752" w:rsidRPr="00E32D0F" w:rsidRDefault="004D5752" w:rsidP="004D5752">
      <w:pPr>
        <w:suppressAutoHyphens/>
        <w:spacing w:after="0" w:line="240" w:lineRule="auto"/>
        <w:ind w:right="-91"/>
        <w:jc w:val="both"/>
        <w:rPr>
          <w:rFonts w:ascii="Century Gothic" w:eastAsia="Times New Roman" w:hAnsi="Century Gothic" w:cs="Times New Roman"/>
          <w:lang w:eastAsia="ar-SA"/>
        </w:rPr>
      </w:pPr>
      <w:r w:rsidRPr="00E32D0F">
        <w:rPr>
          <w:rFonts w:ascii="Century Gothic" w:eastAsia="Times New Roman" w:hAnsi="Century Gothic" w:cs="Times New Roman"/>
          <w:lang w:eastAsia="ar-SA"/>
        </w:rPr>
        <w:t>Recurso de Reclamación Núm. 205/2018.- Resuelto por la Sala Superior del Tribunal de Justicia Administrativa del Estado de Jalisco, en sesión de 16 de agosto de 2018, por unanimidad de votos. Magistrado Ponente: José Ramón Jiménez Gutiérrez. Secretario: Ulises Omar Ayala Espinosa.</w:t>
      </w:r>
    </w:p>
    <w:p w:rsidR="004D5752" w:rsidRPr="00E32D0F" w:rsidRDefault="004D5752" w:rsidP="004D5752">
      <w:pPr>
        <w:spacing w:after="0" w:line="240" w:lineRule="auto"/>
        <w:ind w:right="-91"/>
        <w:jc w:val="both"/>
        <w:rPr>
          <w:rFonts w:ascii="Century Gothic" w:eastAsia="Times New Roman" w:hAnsi="Century Gothic" w:cs="Times New Roman"/>
          <w:bCs/>
          <w:lang w:val="es-ES" w:eastAsia="es-ES"/>
        </w:rPr>
      </w:pPr>
    </w:p>
    <w:p w:rsidR="004D5752" w:rsidRPr="00E32D0F" w:rsidRDefault="004D5752" w:rsidP="004D5752">
      <w:pPr>
        <w:spacing w:after="0" w:line="240" w:lineRule="auto"/>
        <w:ind w:right="-91"/>
        <w:jc w:val="both"/>
        <w:rPr>
          <w:rFonts w:ascii="Century Gothic" w:eastAsia="Times New Roman" w:hAnsi="Century Gothic" w:cs="Times New Roman"/>
          <w:bCs/>
          <w:lang w:val="es-ES" w:eastAsia="es-ES"/>
        </w:rPr>
      </w:pPr>
    </w:p>
    <w:p w:rsidR="004D5752" w:rsidRPr="00E32D0F" w:rsidRDefault="004D5752" w:rsidP="004D5752">
      <w:pPr>
        <w:suppressAutoHyphens/>
        <w:spacing w:after="0" w:line="240" w:lineRule="auto"/>
        <w:ind w:right="-91"/>
        <w:jc w:val="both"/>
        <w:rPr>
          <w:rFonts w:ascii="Century Gothic" w:eastAsia="Times New Roman" w:hAnsi="Century Gothic" w:cs="Times New Roman"/>
          <w:lang w:eastAsia="ar-SA"/>
        </w:rPr>
      </w:pPr>
      <w:r w:rsidRPr="00E32D0F">
        <w:rPr>
          <w:rFonts w:ascii="Century Gothic" w:eastAsia="Times New Roman" w:hAnsi="Century Gothic" w:cs="Times New Roman"/>
          <w:lang w:eastAsia="ar-SA"/>
        </w:rPr>
        <w:t>Recurso de Reclamación Núm. 218/2018.- Resuelto por la Sala Superior del Tribunal de Justicia Administrativa del Estado de Jalisco, en sesión de 16 de agosto de 2018, por unanimidad de votos. Magistrado Ponente: José Ramón Jiménez Gutiérrez. Secretario: Jacinto Rodríguez Macías.</w:t>
      </w:r>
    </w:p>
    <w:p w:rsidR="004D5752" w:rsidRPr="00E32D0F" w:rsidRDefault="004D5752" w:rsidP="004D5752">
      <w:pPr>
        <w:suppressAutoHyphens/>
        <w:spacing w:after="0" w:line="240" w:lineRule="auto"/>
        <w:ind w:right="-91"/>
        <w:jc w:val="both"/>
        <w:rPr>
          <w:rFonts w:ascii="Century Gothic" w:eastAsia="Times New Roman" w:hAnsi="Century Gothic" w:cs="Times New Roman"/>
          <w:lang w:eastAsia="ar-SA"/>
        </w:rPr>
      </w:pPr>
    </w:p>
    <w:p w:rsidR="004D5752" w:rsidRPr="00E32D0F" w:rsidRDefault="004D5752" w:rsidP="004D5752">
      <w:pPr>
        <w:suppressAutoHyphens/>
        <w:spacing w:after="0" w:line="240" w:lineRule="auto"/>
        <w:ind w:right="-91"/>
        <w:jc w:val="both"/>
        <w:rPr>
          <w:rFonts w:ascii="Century Gothic" w:eastAsia="Times New Roman" w:hAnsi="Century Gothic" w:cs="Times New Roman"/>
          <w:lang w:eastAsia="ar-SA"/>
        </w:rPr>
      </w:pPr>
      <w:r w:rsidRPr="00E32D0F">
        <w:rPr>
          <w:rFonts w:ascii="Century Gothic" w:eastAsia="Times New Roman" w:hAnsi="Century Gothic" w:cs="Times New Roman"/>
          <w:lang w:eastAsia="ar-SA"/>
        </w:rPr>
        <w:t>Recurso de Reclamación Núm. 242/2018.- Resuelto por la Sala Superior del Tribunal de Justicia Administrativa del Estado de Jalisco, en sesión de 16 de agosto de 2018, por unanimidad de votos. Magistrado Ponente: José Ramón Jiménez Gutiérrez. Secretario: Miguel Ángel García Domínguez.</w:t>
      </w:r>
    </w:p>
    <w:p w:rsidR="004D5752" w:rsidRPr="00E32D0F" w:rsidRDefault="004D5752" w:rsidP="004D5752">
      <w:pPr>
        <w:suppressAutoHyphens/>
        <w:spacing w:after="0" w:line="240" w:lineRule="auto"/>
        <w:ind w:right="-91"/>
        <w:jc w:val="both"/>
        <w:rPr>
          <w:rFonts w:ascii="Century Gothic" w:eastAsia="Times New Roman" w:hAnsi="Century Gothic" w:cs="Times New Roman"/>
          <w:lang w:eastAsia="ar-SA"/>
        </w:rPr>
      </w:pPr>
    </w:p>
    <w:p w:rsidR="00F435BB" w:rsidRDefault="004D5752" w:rsidP="004D5752">
      <w:r w:rsidRPr="00E32D0F">
        <w:rPr>
          <w:rFonts w:ascii="Century Gothic" w:eastAsia="Times New Roman" w:hAnsi="Century Gothic" w:cs="Times New Roman"/>
          <w:lang w:eastAsia="ar-SA"/>
        </w:rPr>
        <w:t>Recurso de Reclamación Núm. 14/2019.- Resuelto por la Sala Superior del Tribunal de Justicia Administrativa del Estado de Jalisco, en sesión de 28 de febrero de 2019, por unanimidad de votos. Magistrado Ponente: José Ramón Jiménez Gutiérrez. Secretario: Ulises Omar Ayala Espinosa.</w:t>
      </w:r>
      <w:bookmarkStart w:id="0" w:name="_GoBack"/>
      <w:bookmarkEnd w:id="0"/>
    </w:p>
    <w:sectPr w:rsidR="00F435BB" w:rsidSect="004D5752">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752"/>
    <w:rsid w:val="004D5752"/>
    <w:rsid w:val="00F435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67A60-878A-4DB1-9533-2811BAC4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57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2105</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jjuarez</dc:creator>
  <cp:keywords/>
  <dc:description/>
  <cp:lastModifiedBy>jjuarez</cp:lastModifiedBy>
  <cp:revision>1</cp:revision>
  <dcterms:created xsi:type="dcterms:W3CDTF">2019-09-02T17:31:00Z</dcterms:created>
  <dcterms:modified xsi:type="dcterms:W3CDTF">2019-09-02T17:31:00Z</dcterms:modified>
</cp:coreProperties>
</file>