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P R E S E N T E</w:t>
      </w:r>
    </w:p>
    <w:p w:rsidR="009431EA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F6546F" w:rsidRDefault="009431EA" w:rsidP="009431EA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7E0F49">
        <w:rPr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>Conforme al artículo 21 fracción IV del Reglamento Interior del Tribunal de Justicia Administrativa del Est</w:t>
      </w:r>
      <w:r>
        <w:rPr>
          <w:rFonts w:ascii="Century Gothic" w:hAnsi="Century Gothic"/>
          <w:sz w:val="24"/>
          <w:szCs w:val="24"/>
        </w:rPr>
        <w:t xml:space="preserve">ado de Jalisco, se convoca a la </w:t>
      </w:r>
      <w:r w:rsidR="00EB7D38">
        <w:rPr>
          <w:rFonts w:ascii="Century Gothic" w:hAnsi="Century Gothic"/>
          <w:b/>
          <w:sz w:val="24"/>
          <w:szCs w:val="24"/>
        </w:rPr>
        <w:t>Décima Octava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b/>
          <w:sz w:val="24"/>
          <w:szCs w:val="24"/>
        </w:rPr>
        <w:t>Sesión Extraordinaria</w:t>
      </w:r>
      <w:r>
        <w:rPr>
          <w:rFonts w:ascii="Century Gothic" w:hAnsi="Century Gothic"/>
          <w:sz w:val="24"/>
          <w:szCs w:val="24"/>
        </w:rPr>
        <w:t xml:space="preserve"> del año </w:t>
      </w:r>
      <w:proofErr w:type="gramStart"/>
      <w:r>
        <w:rPr>
          <w:rFonts w:ascii="Century Gothic" w:hAnsi="Century Gothic"/>
          <w:sz w:val="24"/>
          <w:szCs w:val="24"/>
        </w:rPr>
        <w:t>dos mil veintiuno</w:t>
      </w:r>
      <w:proofErr w:type="gramEnd"/>
      <w:r w:rsidRPr="007E0F49">
        <w:rPr>
          <w:rFonts w:ascii="Century Gothic" w:hAnsi="Century Gothic"/>
          <w:sz w:val="24"/>
          <w:szCs w:val="24"/>
        </w:rPr>
        <w:t xml:space="preserve">, que tendrá verificativo a las </w:t>
      </w:r>
      <w:r>
        <w:rPr>
          <w:rFonts w:ascii="Century Gothic" w:hAnsi="Century Gothic"/>
          <w:b/>
          <w:sz w:val="24"/>
          <w:szCs w:val="24"/>
        </w:rPr>
        <w:t>catorce</w:t>
      </w:r>
      <w:r w:rsidRPr="007E0F49">
        <w:rPr>
          <w:rFonts w:ascii="Century Gothic" w:hAnsi="Century Gothic"/>
          <w:b/>
          <w:sz w:val="24"/>
          <w:szCs w:val="24"/>
        </w:rPr>
        <w:t xml:space="preserve"> horas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sz w:val="24"/>
          <w:szCs w:val="24"/>
        </w:rPr>
        <w:t>el día</w:t>
      </w:r>
      <w:r w:rsidRPr="007E0F49">
        <w:rPr>
          <w:rFonts w:ascii="Century Gothic" w:hAnsi="Century Gothic"/>
          <w:b/>
          <w:sz w:val="24"/>
          <w:szCs w:val="24"/>
        </w:rPr>
        <w:t xml:space="preserve"> </w:t>
      </w:r>
      <w:r w:rsidR="00EB7D38">
        <w:rPr>
          <w:rFonts w:ascii="Century Gothic" w:hAnsi="Century Gothic"/>
          <w:b/>
          <w:sz w:val="24"/>
          <w:szCs w:val="24"/>
        </w:rPr>
        <w:t>cinco de abril</w:t>
      </w:r>
      <w:r>
        <w:rPr>
          <w:rFonts w:ascii="Century Gothic" w:hAnsi="Century Gothic"/>
          <w:b/>
          <w:sz w:val="24"/>
          <w:szCs w:val="24"/>
        </w:rPr>
        <w:t xml:space="preserve"> de dos mil veintiuno</w:t>
      </w:r>
      <w:r w:rsidRPr="007E0F49">
        <w:rPr>
          <w:rFonts w:ascii="Century Gothic" w:hAnsi="Century Gothic"/>
          <w:sz w:val="24"/>
          <w:szCs w:val="24"/>
        </w:rPr>
        <w:t xml:space="preserve">, en el Salón de Sesiones ubicado en la Avenida Niños Héroes número 2663 </w:t>
      </w:r>
      <w:r w:rsidRPr="007E0F49">
        <w:rPr>
          <w:rFonts w:ascii="Century Gothic" w:hAnsi="Century Gothic"/>
          <w:sz w:val="24"/>
          <w:szCs w:val="24"/>
          <w:lang w:val="es-ES_tradnl"/>
        </w:rPr>
        <w:t>Colonia Jardines del Bosque, Guadalajara Jalisco</w:t>
      </w:r>
      <w:r w:rsidRPr="007E0F49">
        <w:rPr>
          <w:rFonts w:ascii="Century Gothic" w:hAnsi="Century Gothic"/>
          <w:sz w:val="24"/>
          <w:szCs w:val="24"/>
        </w:rPr>
        <w:t>, con el siguiente;</w:t>
      </w:r>
    </w:p>
    <w:p w:rsidR="009431EA" w:rsidRPr="007E0F49" w:rsidRDefault="009431EA" w:rsidP="009431EA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9431EA" w:rsidRPr="007E0F49" w:rsidRDefault="009431EA" w:rsidP="009431EA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EB7D38" w:rsidRPr="0052553A" w:rsidRDefault="00EB7D38" w:rsidP="00EB7D38">
      <w:pPr>
        <w:pStyle w:val="Sangradetextonormal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EB7D38" w:rsidRPr="003041CF" w:rsidRDefault="00EB7D38" w:rsidP="00EB7D38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EB7D38" w:rsidRPr="00A73086" w:rsidRDefault="00EB7D38" w:rsidP="00EB7D38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Recepción de</w:t>
      </w:r>
      <w:r>
        <w:rPr>
          <w:rFonts w:ascii="Century Gothic" w:hAnsi="Century Gothic"/>
          <w:b w:val="0"/>
          <w:sz w:val="24"/>
          <w:szCs w:val="24"/>
        </w:rPr>
        <w:t xml:space="preserve"> los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oficio</w:t>
      </w:r>
      <w:r>
        <w:rPr>
          <w:rFonts w:ascii="Century Gothic" w:hAnsi="Century Gothic"/>
          <w:b w:val="0"/>
          <w:sz w:val="24"/>
          <w:szCs w:val="24"/>
        </w:rPr>
        <w:t>s 4164/2021, 593 y 44/2021</w:t>
      </w:r>
      <w:r w:rsidRPr="00982187">
        <w:rPr>
          <w:rFonts w:ascii="Century Gothic" w:hAnsi="Century Gothic"/>
          <w:b w:val="0"/>
          <w:sz w:val="24"/>
          <w:szCs w:val="24"/>
        </w:rPr>
        <w:t xml:space="preserve"> que remite</w:t>
      </w:r>
      <w:r>
        <w:rPr>
          <w:rFonts w:ascii="Century Gothic" w:hAnsi="Century Gothic"/>
          <w:b w:val="0"/>
          <w:sz w:val="24"/>
          <w:szCs w:val="24"/>
        </w:rPr>
        <w:t>n los</w:t>
      </w:r>
      <w:r w:rsidRPr="00982187">
        <w:rPr>
          <w:rFonts w:ascii="Century Gothic" w:hAnsi="Century Gothic"/>
          <w:b w:val="0"/>
          <w:sz w:val="24"/>
          <w:szCs w:val="24"/>
        </w:rPr>
        <w:t xml:space="preserve"> Secretario</w:t>
      </w:r>
      <w:r>
        <w:rPr>
          <w:rFonts w:ascii="Century Gothic" w:hAnsi="Century Gothic"/>
          <w:b w:val="0"/>
          <w:sz w:val="24"/>
          <w:szCs w:val="24"/>
        </w:rPr>
        <w:t>s</w:t>
      </w:r>
      <w:r w:rsidRPr="00982187">
        <w:rPr>
          <w:rFonts w:ascii="Century Gothic" w:hAnsi="Century Gothic"/>
          <w:b w:val="0"/>
          <w:sz w:val="24"/>
          <w:szCs w:val="24"/>
        </w:rPr>
        <w:t xml:space="preserve"> </w:t>
      </w:r>
      <w:r>
        <w:rPr>
          <w:rFonts w:ascii="Century Gothic" w:hAnsi="Century Gothic"/>
          <w:b w:val="0"/>
          <w:sz w:val="24"/>
          <w:szCs w:val="24"/>
        </w:rPr>
        <w:t>de Acuerdos del Tercer y Cuarto Tribunal Colegiado en Materia Administrativa del Tercer Circuito</w:t>
      </w:r>
      <w:r w:rsidRPr="00982187">
        <w:rPr>
          <w:rFonts w:ascii="Century Gothic" w:hAnsi="Century Gothic"/>
          <w:b w:val="0"/>
          <w:sz w:val="24"/>
          <w:szCs w:val="24"/>
        </w:rPr>
        <w:t>, rela</w:t>
      </w:r>
      <w:r>
        <w:rPr>
          <w:rFonts w:ascii="Century Gothic" w:hAnsi="Century Gothic"/>
          <w:b w:val="0"/>
          <w:sz w:val="24"/>
          <w:szCs w:val="24"/>
        </w:rPr>
        <w:t xml:space="preserve">tivos a los Juicios de Amparo número 195/2020, 70/2020 y 180/2020, </w:t>
      </w:r>
      <w:r w:rsidRPr="00A73086">
        <w:rPr>
          <w:rFonts w:ascii="Century Gothic" w:hAnsi="Century Gothic"/>
          <w:b w:val="0"/>
          <w:sz w:val="24"/>
          <w:szCs w:val="24"/>
        </w:rPr>
        <w:t xml:space="preserve">mediante </w:t>
      </w:r>
      <w:r>
        <w:rPr>
          <w:rFonts w:ascii="Century Gothic" w:hAnsi="Century Gothic"/>
          <w:b w:val="0"/>
          <w:sz w:val="24"/>
          <w:szCs w:val="24"/>
        </w:rPr>
        <w:t>los</w:t>
      </w:r>
      <w:r w:rsidRPr="00A73086">
        <w:rPr>
          <w:rFonts w:ascii="Century Gothic" w:hAnsi="Century Gothic"/>
          <w:b w:val="0"/>
          <w:sz w:val="24"/>
          <w:szCs w:val="24"/>
        </w:rPr>
        <w:t xml:space="preserve"> cual</w:t>
      </w:r>
      <w:r>
        <w:rPr>
          <w:rFonts w:ascii="Century Gothic" w:hAnsi="Century Gothic"/>
          <w:b w:val="0"/>
          <w:sz w:val="24"/>
          <w:szCs w:val="24"/>
        </w:rPr>
        <w:t>es</w:t>
      </w:r>
      <w:r w:rsidRPr="00A73086">
        <w:rPr>
          <w:rFonts w:ascii="Century Gothic" w:hAnsi="Century Gothic"/>
          <w:b w:val="0"/>
          <w:sz w:val="24"/>
          <w:szCs w:val="24"/>
        </w:rPr>
        <w:t xml:space="preserve"> requiere</w:t>
      </w:r>
      <w:r>
        <w:rPr>
          <w:rFonts w:ascii="Century Gothic" w:hAnsi="Century Gothic"/>
          <w:b w:val="0"/>
          <w:sz w:val="24"/>
          <w:szCs w:val="24"/>
        </w:rPr>
        <w:t>n</w:t>
      </w:r>
      <w:r w:rsidRPr="00A73086">
        <w:rPr>
          <w:rFonts w:ascii="Century Gothic" w:hAnsi="Century Gothic"/>
          <w:b w:val="0"/>
          <w:sz w:val="24"/>
          <w:szCs w:val="24"/>
        </w:rPr>
        <w:t xml:space="preserve"> a este Tribunal por el cumplimiento de la ejecutoria de</w:t>
      </w:r>
      <w:r>
        <w:rPr>
          <w:rFonts w:ascii="Century Gothic" w:hAnsi="Century Gothic"/>
          <w:b w:val="0"/>
          <w:sz w:val="24"/>
          <w:szCs w:val="24"/>
        </w:rPr>
        <w:t xml:space="preserve"> </w:t>
      </w:r>
      <w:r w:rsidRPr="00A73086">
        <w:rPr>
          <w:rFonts w:ascii="Century Gothic" w:hAnsi="Century Gothic"/>
          <w:b w:val="0"/>
          <w:sz w:val="24"/>
          <w:szCs w:val="24"/>
        </w:rPr>
        <w:t>l</w:t>
      </w:r>
      <w:r>
        <w:rPr>
          <w:rFonts w:ascii="Century Gothic" w:hAnsi="Century Gothic"/>
          <w:b w:val="0"/>
          <w:sz w:val="24"/>
          <w:szCs w:val="24"/>
        </w:rPr>
        <w:t>os</w:t>
      </w:r>
      <w:r w:rsidRPr="00A73086">
        <w:rPr>
          <w:rFonts w:ascii="Century Gothic" w:hAnsi="Century Gothic"/>
          <w:b w:val="0"/>
          <w:sz w:val="24"/>
          <w:szCs w:val="24"/>
        </w:rPr>
        <w:t xml:space="preserve"> juicio</w:t>
      </w:r>
      <w:r>
        <w:rPr>
          <w:rFonts w:ascii="Century Gothic" w:hAnsi="Century Gothic"/>
          <w:b w:val="0"/>
          <w:sz w:val="24"/>
          <w:szCs w:val="24"/>
        </w:rPr>
        <w:t>s</w:t>
      </w:r>
      <w:r w:rsidRPr="00A73086">
        <w:rPr>
          <w:rFonts w:ascii="Century Gothic" w:hAnsi="Century Gothic"/>
          <w:b w:val="0"/>
          <w:sz w:val="24"/>
          <w:szCs w:val="24"/>
        </w:rPr>
        <w:t xml:space="preserve"> de amparo referido</w:t>
      </w:r>
      <w:r>
        <w:rPr>
          <w:rFonts w:ascii="Century Gothic" w:hAnsi="Century Gothic"/>
          <w:b w:val="0"/>
          <w:sz w:val="24"/>
          <w:szCs w:val="24"/>
        </w:rPr>
        <w:t>s</w:t>
      </w:r>
      <w:r w:rsidRPr="00A73086">
        <w:rPr>
          <w:rFonts w:ascii="Century Gothic" w:hAnsi="Century Gothic"/>
          <w:b w:val="0"/>
          <w:sz w:val="24"/>
          <w:szCs w:val="24"/>
        </w:rPr>
        <w:t>.</w:t>
      </w:r>
    </w:p>
    <w:p w:rsidR="00EB7D38" w:rsidRPr="00A73086" w:rsidRDefault="00EB7D38" w:rsidP="00EB7D38">
      <w:pPr>
        <w:pStyle w:val="Sangradetextonormal"/>
        <w:numPr>
          <w:ilvl w:val="0"/>
          <w:numId w:val="1"/>
        </w:numPr>
        <w:jc w:val="both"/>
        <w:rPr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b w:val="0"/>
          <w:sz w:val="24"/>
          <w:szCs w:val="24"/>
        </w:rPr>
        <w:t xml:space="preserve">cto de sentencia del expediente del Recurso de Reclamación 497/2020 </w:t>
      </w:r>
      <w:r w:rsidRPr="0052553A">
        <w:rPr>
          <w:rFonts w:ascii="Century Gothic" w:hAnsi="Century Gothic"/>
          <w:b w:val="0"/>
          <w:sz w:val="24"/>
          <w:szCs w:val="24"/>
        </w:rPr>
        <w:t>en cumpl</w:t>
      </w:r>
      <w:r>
        <w:rPr>
          <w:rFonts w:ascii="Century Gothic" w:hAnsi="Century Gothic"/>
          <w:b w:val="0"/>
          <w:sz w:val="24"/>
          <w:szCs w:val="24"/>
        </w:rPr>
        <w:t>imiento al Juicio de Amparo 195/2020 del Tercer Tribunal Colegiado en Materia Administrativa del Tercer Circuito.</w:t>
      </w:r>
    </w:p>
    <w:p w:rsidR="00EB7D38" w:rsidRPr="001842C0" w:rsidRDefault="00EB7D38" w:rsidP="00EB7D38">
      <w:pPr>
        <w:pStyle w:val="Sangradetextonormal"/>
        <w:numPr>
          <w:ilvl w:val="0"/>
          <w:numId w:val="1"/>
        </w:numPr>
        <w:jc w:val="both"/>
        <w:rPr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b w:val="0"/>
          <w:sz w:val="24"/>
          <w:szCs w:val="24"/>
        </w:rPr>
        <w:t xml:space="preserve">cto de sentencia del expediente del Recurso de Apelación 541/2019 </w:t>
      </w:r>
      <w:r w:rsidRPr="0052553A">
        <w:rPr>
          <w:rFonts w:ascii="Century Gothic" w:hAnsi="Century Gothic"/>
          <w:b w:val="0"/>
          <w:sz w:val="24"/>
          <w:szCs w:val="24"/>
        </w:rPr>
        <w:t>en cumpl</w:t>
      </w:r>
      <w:r>
        <w:rPr>
          <w:rFonts w:ascii="Century Gothic" w:hAnsi="Century Gothic"/>
          <w:b w:val="0"/>
          <w:sz w:val="24"/>
          <w:szCs w:val="24"/>
        </w:rPr>
        <w:t>imiento al Juicio de Amparo 70/2020 del Cuarto Tribunal Colegiado en Materia Administrativa del Tercer Circuito</w:t>
      </w:r>
      <w:r>
        <w:rPr>
          <w:rFonts w:ascii="Century Gothic" w:hAnsi="Century Gothic"/>
          <w:sz w:val="24"/>
          <w:szCs w:val="24"/>
        </w:rPr>
        <w:t>.</w:t>
      </w:r>
      <w:r w:rsidRPr="003041CF">
        <w:rPr>
          <w:rFonts w:ascii="Century Gothic" w:hAnsi="Century Gothic"/>
          <w:b w:val="0"/>
          <w:sz w:val="24"/>
          <w:szCs w:val="24"/>
        </w:rPr>
        <w:t xml:space="preserve"> </w:t>
      </w:r>
    </w:p>
    <w:p w:rsidR="009431EA" w:rsidRPr="009431EA" w:rsidRDefault="00EB7D38" w:rsidP="00EB7D38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b w:val="0"/>
          <w:sz w:val="24"/>
          <w:szCs w:val="24"/>
        </w:rPr>
        <w:t xml:space="preserve">cto de sentencia del expediente del Recurso de Apelación 521/2020 </w:t>
      </w:r>
      <w:r w:rsidRPr="0052553A">
        <w:rPr>
          <w:rFonts w:ascii="Century Gothic" w:hAnsi="Century Gothic"/>
          <w:b w:val="0"/>
          <w:sz w:val="24"/>
          <w:szCs w:val="24"/>
        </w:rPr>
        <w:t>en cumpl</w:t>
      </w:r>
      <w:r>
        <w:rPr>
          <w:rFonts w:ascii="Century Gothic" w:hAnsi="Century Gothic"/>
          <w:b w:val="0"/>
          <w:sz w:val="24"/>
          <w:szCs w:val="24"/>
        </w:rPr>
        <w:t>imiento al Juicio de Amparo 180/2020 del Tercer Tribunal Colegiado en Materia Administrativa del Tercer Circuito</w:t>
      </w:r>
      <w:r w:rsidR="009431EA" w:rsidRPr="009431EA">
        <w:rPr>
          <w:rFonts w:ascii="Century Gothic" w:hAnsi="Century Gothic"/>
          <w:sz w:val="24"/>
          <w:szCs w:val="24"/>
        </w:rPr>
        <w:t>.</w:t>
      </w:r>
    </w:p>
    <w:p w:rsidR="009431EA" w:rsidRDefault="009431EA" w:rsidP="009431EA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7E0F49">
        <w:rPr>
          <w:rFonts w:ascii="Century Gothic" w:hAnsi="Century Gothic"/>
          <w:sz w:val="24"/>
          <w:szCs w:val="24"/>
        </w:rPr>
        <w:tab/>
        <w:t xml:space="preserve">Lo hago de su conocimiento para los efectos correspondientes. </w:t>
      </w: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GU</w:t>
      </w:r>
      <w:r>
        <w:rPr>
          <w:rFonts w:ascii="Century Gothic" w:hAnsi="Century Gothic"/>
          <w:b/>
          <w:sz w:val="24"/>
          <w:szCs w:val="24"/>
        </w:rPr>
        <w:t xml:space="preserve">ADALAJARA, JALISCO, </w:t>
      </w:r>
      <w:r w:rsidR="00EB7D38">
        <w:rPr>
          <w:rFonts w:ascii="Century Gothic" w:hAnsi="Century Gothic"/>
          <w:b/>
          <w:sz w:val="24"/>
          <w:szCs w:val="24"/>
        </w:rPr>
        <w:t>TREINTA Y UNO</w:t>
      </w:r>
      <w:r>
        <w:rPr>
          <w:rFonts w:ascii="Century Gothic" w:hAnsi="Century Gothic"/>
          <w:b/>
          <w:sz w:val="24"/>
          <w:szCs w:val="24"/>
        </w:rPr>
        <w:t xml:space="preserve"> DE MARZO DE DOS MIL VEINTIUNO</w:t>
      </w: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 xml:space="preserve">EL PRESIDENTE DE LA SALA SUPERIOR DEL TRIBUNAL DE </w:t>
      </w: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Default="009431EA" w:rsidP="009431EA">
      <w:pPr>
        <w:spacing w:after="0"/>
        <w:rPr>
          <w:sz w:val="24"/>
          <w:szCs w:val="24"/>
        </w:rPr>
      </w:pP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Pr="003306AB" w:rsidRDefault="009431EA" w:rsidP="009431EA">
      <w:pPr>
        <w:spacing w:after="0" w:line="240" w:lineRule="auto"/>
        <w:jc w:val="center"/>
        <w:rPr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</w:t>
      </w:r>
      <w:r>
        <w:rPr>
          <w:rFonts w:ascii="Century Gothic" w:hAnsi="Century Gothic"/>
          <w:b/>
          <w:sz w:val="24"/>
          <w:szCs w:val="24"/>
        </w:rPr>
        <w:t>DO JOSÉ RAMÓN JIMÉNEZ GUTIÉRREZ</w:t>
      </w:r>
    </w:p>
    <w:p w:rsidR="001C1093" w:rsidRDefault="00EB7D38">
      <w:bookmarkStart w:id="0" w:name="_GoBack"/>
      <w:bookmarkEnd w:id="0"/>
    </w:p>
    <w:sectPr w:rsidR="001C1093" w:rsidSect="00DE0644">
      <w:headerReference w:type="default" r:id="rId7"/>
      <w:footerReference w:type="default" r:id="rId8"/>
      <w:headerReference w:type="first" r:id="rId9"/>
      <w:footerReference w:type="first" r:id="rId10"/>
      <w:pgSz w:w="12240" w:h="20160" w:code="5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B7D38">
      <w:pPr>
        <w:spacing w:after="0" w:line="240" w:lineRule="auto"/>
      </w:pPr>
      <w:r>
        <w:separator/>
      </w:r>
    </w:p>
  </w:endnote>
  <w:endnote w:type="continuationSeparator" w:id="0">
    <w:p w:rsidR="00000000" w:rsidRDefault="00EB7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81D" w:rsidRPr="00EB6AAB" w:rsidRDefault="00EB7D38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9431EA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9431EA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09DF06" wp14:editId="05BDB682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EB7D3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09DF0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EB7D38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4FD" w:rsidRPr="00EB6AAB" w:rsidRDefault="00EB7D38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9431EA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EB7D3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B7D38">
      <w:pPr>
        <w:spacing w:after="0" w:line="240" w:lineRule="auto"/>
      </w:pPr>
      <w:r>
        <w:separator/>
      </w:r>
    </w:p>
  </w:footnote>
  <w:footnote w:type="continuationSeparator" w:id="0">
    <w:p w:rsidR="00000000" w:rsidRDefault="00EB7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227" w:rsidRDefault="009431EA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08203A6C" wp14:editId="576DF2D6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6D6" w:rsidRDefault="009431EA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5A0F5E16" wp14:editId="1A994910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EA"/>
    <w:rsid w:val="001723F9"/>
    <w:rsid w:val="00384412"/>
    <w:rsid w:val="009431EA"/>
    <w:rsid w:val="00EB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1123A"/>
  <w15:chartTrackingRefBased/>
  <w15:docId w15:val="{E6F6D760-EC7A-4554-8165-8AF41028B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1E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1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1EA"/>
  </w:style>
  <w:style w:type="paragraph" w:styleId="Piedepgina">
    <w:name w:val="footer"/>
    <w:basedOn w:val="Normal"/>
    <w:link w:val="PiedepginaCar"/>
    <w:uiPriority w:val="99"/>
    <w:unhideWhenUsed/>
    <w:rsid w:val="009431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1EA"/>
  </w:style>
  <w:style w:type="paragraph" w:styleId="Sangradetextonormal">
    <w:name w:val="Body Text Indent"/>
    <w:basedOn w:val="Normal"/>
    <w:link w:val="SangradetextonormalCar"/>
    <w:rsid w:val="009431EA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431EA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paragraph" w:styleId="Textosinformato">
    <w:name w:val="Plain Text"/>
    <w:basedOn w:val="Normal"/>
    <w:link w:val="TextosinformatoCar"/>
    <w:rsid w:val="009431EA"/>
    <w:pPr>
      <w:autoSpaceDE w:val="0"/>
      <w:autoSpaceDN w:val="0"/>
      <w:spacing w:after="0" w:line="240" w:lineRule="auto"/>
      <w:jc w:val="both"/>
    </w:pPr>
    <w:rPr>
      <w:rFonts w:ascii="Century Gothic" w:eastAsia="Times New Roman" w:hAnsi="Century Gothic" w:cs="Verdana"/>
      <w:sz w:val="24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431EA"/>
    <w:rPr>
      <w:rFonts w:ascii="Century Gothic" w:eastAsia="Times New Roman" w:hAnsi="Century Gothic" w:cs="Verdana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Lizette Esmeralda Sandoval Salado</dc:creator>
  <cp:keywords/>
  <dc:description/>
  <cp:lastModifiedBy>Rosalba Gaytan Padilla</cp:lastModifiedBy>
  <cp:revision>2</cp:revision>
  <dcterms:created xsi:type="dcterms:W3CDTF">2021-04-06T17:24:00Z</dcterms:created>
  <dcterms:modified xsi:type="dcterms:W3CDTF">2021-04-06T17:24:00Z</dcterms:modified>
</cp:coreProperties>
</file>