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EAF" w:rsidRDefault="00DB1EAF" w:rsidP="00DB1EAF">
      <w:pPr>
        <w:ind w:left="567" w:right="618"/>
        <w:jc w:val="both"/>
        <w:rPr>
          <w:rFonts w:ascii="Century Gothic" w:eastAsia="Times New Roman" w:hAnsi="Century Gothic" w:cs="Arial"/>
          <w:b/>
          <w:kern w:val="0"/>
          <w:lang w:eastAsia="ar-SA"/>
        </w:rPr>
      </w:pPr>
      <w:r>
        <w:rPr>
          <w:rFonts w:ascii="Century Gothic" w:eastAsia="Times New Roman" w:hAnsi="Century Gothic" w:cs="Arial"/>
          <w:b/>
          <w:lang w:eastAsia="ar-SA"/>
        </w:rPr>
        <w:t xml:space="preserve">SEGUNDA ÉPOCA </w:t>
      </w:r>
    </w:p>
    <w:p w:rsidR="00DB1EAF" w:rsidRDefault="00DB1EAF" w:rsidP="00DB1EAF">
      <w:pPr>
        <w:tabs>
          <w:tab w:val="left" w:pos="6946"/>
        </w:tabs>
        <w:ind w:left="567" w:right="618"/>
        <w:jc w:val="both"/>
        <w:rPr>
          <w:rFonts w:ascii="Century Gothic" w:eastAsia="Times New Roman" w:hAnsi="Century Gothic"/>
          <w:sz w:val="22"/>
          <w:szCs w:val="22"/>
          <w:lang w:eastAsia="ar-SA"/>
        </w:rPr>
      </w:pPr>
      <w:r>
        <w:rPr>
          <w:rFonts w:ascii="Century Gothic" w:eastAsia="Times New Roman" w:hAnsi="Century Gothic"/>
          <w:lang w:eastAsia="ar-SA"/>
        </w:rPr>
        <w:t>Número de Registro 4/12ORD/SS/JA</w:t>
      </w:r>
    </w:p>
    <w:p w:rsidR="00DB1EAF" w:rsidRDefault="00DB1EAF" w:rsidP="00DB1EAF">
      <w:pPr>
        <w:tabs>
          <w:tab w:val="left" w:pos="6946"/>
        </w:tabs>
        <w:ind w:left="567" w:right="618"/>
        <w:jc w:val="both"/>
        <w:rPr>
          <w:rFonts w:ascii="Century Gothic" w:eastAsia="Times New Roman" w:hAnsi="Century Gothic"/>
          <w:lang w:eastAsia="ar-SA"/>
        </w:rPr>
      </w:pPr>
      <w:r>
        <w:rPr>
          <w:rFonts w:ascii="Century Gothic" w:eastAsia="Times New Roman" w:hAnsi="Century Gothic"/>
          <w:lang w:eastAsia="ar-SA"/>
        </w:rPr>
        <w:t>Jurisprudencia</w:t>
      </w:r>
    </w:p>
    <w:p w:rsidR="00DB1EAF" w:rsidRDefault="00DB1EAF" w:rsidP="00DB1EAF">
      <w:pPr>
        <w:tabs>
          <w:tab w:val="left" w:pos="6946"/>
        </w:tabs>
        <w:ind w:left="567" w:right="618"/>
        <w:jc w:val="both"/>
        <w:rPr>
          <w:rFonts w:ascii="Century Gothic" w:eastAsia="Times New Roman" w:hAnsi="Century Gothic"/>
          <w:lang w:eastAsia="ar-SA"/>
        </w:rPr>
      </w:pPr>
      <w:r>
        <w:rPr>
          <w:rFonts w:ascii="Century Gothic" w:eastAsia="Times New Roman" w:hAnsi="Century Gothic"/>
          <w:lang w:eastAsia="ar-SA"/>
        </w:rPr>
        <w:t>Tomo I 2021</w:t>
      </w:r>
    </w:p>
    <w:p w:rsidR="00DB1EAF" w:rsidRDefault="00DB1EAF" w:rsidP="00DB1EAF">
      <w:pPr>
        <w:pStyle w:val="Sangradetextonormal"/>
        <w:spacing w:line="360" w:lineRule="auto"/>
        <w:ind w:left="567" w:right="618" w:firstLine="0"/>
        <w:rPr>
          <w:rFonts w:ascii="Century Gothic" w:hAnsi="Century Gothic" w:cs="Arial"/>
          <w:color w:val="auto"/>
          <w:szCs w:val="26"/>
        </w:rPr>
      </w:pPr>
    </w:p>
    <w:p w:rsidR="00DB1EAF" w:rsidRDefault="00DB1EAF" w:rsidP="00DB1EAF">
      <w:pPr>
        <w:pStyle w:val="Sangradetextonormal"/>
        <w:spacing w:line="360" w:lineRule="auto"/>
        <w:ind w:left="567" w:right="618" w:firstLine="0"/>
        <w:rPr>
          <w:rFonts w:ascii="Century Gothic" w:hAnsi="Century Gothic" w:cs="Arial"/>
          <w:b w:val="0"/>
          <w:color w:val="auto"/>
          <w:szCs w:val="26"/>
        </w:rPr>
      </w:pPr>
      <w:bookmarkStart w:id="0" w:name="_GoBack"/>
      <w:r>
        <w:rPr>
          <w:rFonts w:ascii="Century Gothic" w:hAnsi="Century Gothic" w:cs="Arial"/>
          <w:color w:val="auto"/>
          <w:szCs w:val="26"/>
        </w:rPr>
        <w:t>ABOGADO PATRONO, CUENTA CON LA FACULTAD DE FORMULAR AMPLIACIÓN AL ESCRITO INICIAL DE DEMANDA</w:t>
      </w:r>
      <w:bookmarkEnd w:id="0"/>
      <w:r>
        <w:rPr>
          <w:rFonts w:ascii="Century Gothic" w:hAnsi="Century Gothic" w:cs="Arial"/>
          <w:color w:val="auto"/>
          <w:szCs w:val="26"/>
        </w:rPr>
        <w:t>,</w:t>
      </w:r>
      <w:r>
        <w:rPr>
          <w:rFonts w:ascii="Century Gothic" w:hAnsi="Century Gothic" w:cs="Arial"/>
          <w:b w:val="0"/>
          <w:color w:val="auto"/>
          <w:szCs w:val="26"/>
        </w:rPr>
        <w:t xml:space="preserve"> De una interpretación armónica del artículo 7 de la Ley de Justicia Administrativa del Estado de Jalisco, se permite arribar a la convicción de que la figura del abogado patrono se equipara a la de un mandatario judicial especial con facultades generales, por lo que desde el momento en que se le discierna el cargo conferido, queda facultado para realizar directamente en el juicio aquellos actos procesales que beneficien a la parte que lo designó, entre ellos, la ampliación del escrito inicial de demanda, ya que éste último es un acto que resulta necesario para la defensa de los derechos de la parte actora.</w:t>
      </w:r>
    </w:p>
    <w:p w:rsidR="00DB1EAF" w:rsidRDefault="00DB1EAF" w:rsidP="00DB1EAF">
      <w:pPr>
        <w:pStyle w:val="Sangradetextonormal"/>
        <w:spacing w:line="360" w:lineRule="auto"/>
        <w:ind w:left="567" w:right="618" w:firstLine="0"/>
        <w:rPr>
          <w:rFonts w:ascii="Century Gothic" w:hAnsi="Century Gothic" w:cs="Arial"/>
          <w:b w:val="0"/>
          <w:color w:val="auto"/>
          <w:szCs w:val="26"/>
        </w:rPr>
      </w:pPr>
    </w:p>
    <w:p w:rsidR="00DB1EAF" w:rsidRDefault="00DB1EAF" w:rsidP="00DB1EAF">
      <w:pPr>
        <w:pStyle w:val="Sangradetextonormal"/>
        <w:spacing w:line="360" w:lineRule="auto"/>
        <w:ind w:left="567" w:right="618" w:firstLine="0"/>
        <w:rPr>
          <w:rFonts w:ascii="Century Gothic" w:hAnsi="Century Gothic" w:cs="Arial"/>
          <w:b w:val="0"/>
          <w:color w:val="auto"/>
          <w:szCs w:val="26"/>
        </w:rPr>
      </w:pPr>
      <w:r>
        <w:rPr>
          <w:rFonts w:ascii="Century Gothic" w:hAnsi="Century Gothic" w:cs="Arial"/>
          <w:b w:val="0"/>
          <w:color w:val="auto"/>
          <w:szCs w:val="26"/>
        </w:rPr>
        <w:t>PRECEDENTES:</w:t>
      </w:r>
    </w:p>
    <w:p w:rsidR="00DB1EAF" w:rsidRDefault="00DB1EAF" w:rsidP="00DB1EAF">
      <w:pPr>
        <w:pStyle w:val="Sangradetextonormal"/>
        <w:spacing w:line="360" w:lineRule="auto"/>
        <w:ind w:left="567" w:right="618" w:firstLine="0"/>
        <w:rPr>
          <w:rFonts w:ascii="Century Gothic" w:hAnsi="Century Gothic" w:cs="Arial"/>
          <w:b w:val="0"/>
          <w:color w:val="auto"/>
          <w:szCs w:val="26"/>
        </w:rPr>
      </w:pPr>
      <w:r>
        <w:rPr>
          <w:rFonts w:ascii="Century Gothic" w:hAnsi="Century Gothic" w:cs="Arial"/>
          <w:b w:val="0"/>
          <w:color w:val="auto"/>
          <w:szCs w:val="26"/>
        </w:rPr>
        <w:t>Recurso de Reclamación Núm. 61/2018. Resuelto por la Sala Superior del Tribunal de Justicia Administrativa del Estado de Jalisco, en sesión de 12 de julio de 2018, por unanimidad de votos. Magistrado Ponente: José Ramón Jiménez Gutiérrez. Secretario: Ulises Omar Ayala Espinosa.</w:t>
      </w:r>
    </w:p>
    <w:p w:rsidR="00DB1EAF" w:rsidRDefault="00DB1EAF" w:rsidP="00DB1EAF">
      <w:pPr>
        <w:pStyle w:val="Sangradetextonormal"/>
        <w:spacing w:line="360" w:lineRule="auto"/>
        <w:ind w:left="567" w:right="618" w:firstLine="0"/>
        <w:rPr>
          <w:rFonts w:ascii="Century Gothic" w:hAnsi="Century Gothic" w:cs="Arial"/>
          <w:b w:val="0"/>
          <w:color w:val="auto"/>
          <w:szCs w:val="26"/>
        </w:rPr>
      </w:pPr>
    </w:p>
    <w:p w:rsidR="00DB1EAF" w:rsidRDefault="00DB1EAF" w:rsidP="00DB1EAF">
      <w:pPr>
        <w:pStyle w:val="Sangradetextonormal"/>
        <w:spacing w:line="360" w:lineRule="auto"/>
        <w:ind w:left="567" w:right="618" w:firstLine="0"/>
        <w:rPr>
          <w:rFonts w:ascii="Century Gothic" w:hAnsi="Century Gothic" w:cs="Arial"/>
          <w:b w:val="0"/>
          <w:color w:val="auto"/>
          <w:szCs w:val="26"/>
        </w:rPr>
      </w:pPr>
      <w:r>
        <w:rPr>
          <w:rFonts w:ascii="Century Gothic" w:hAnsi="Century Gothic" w:cs="Arial"/>
          <w:b w:val="0"/>
          <w:color w:val="auto"/>
          <w:szCs w:val="26"/>
        </w:rPr>
        <w:t xml:space="preserve">Recurso de Reclamación Núm. 128/2018. Resuelto por la Sala Superior del Tribunal de Justicia Administrativa del Estado de Jalisco, en sesión de 09 de agosto de 2018, por unanimidad de votos. Magistrado Ponente: José Ramón Jiménez Gutiérrez. Secretario: Eduardo </w:t>
      </w:r>
      <w:proofErr w:type="spellStart"/>
      <w:r>
        <w:rPr>
          <w:rFonts w:ascii="Century Gothic" w:hAnsi="Century Gothic" w:cs="Arial"/>
          <w:b w:val="0"/>
          <w:color w:val="auto"/>
          <w:szCs w:val="26"/>
        </w:rPr>
        <w:t>Rafols</w:t>
      </w:r>
      <w:proofErr w:type="spellEnd"/>
      <w:r>
        <w:rPr>
          <w:rFonts w:ascii="Century Gothic" w:hAnsi="Century Gothic" w:cs="Arial"/>
          <w:b w:val="0"/>
          <w:color w:val="auto"/>
          <w:szCs w:val="26"/>
        </w:rPr>
        <w:t xml:space="preserve"> Pérez.</w:t>
      </w:r>
    </w:p>
    <w:p w:rsidR="00DB1EAF" w:rsidRDefault="00DB1EAF" w:rsidP="00DB1EAF">
      <w:pPr>
        <w:pStyle w:val="Sangradetextonormal"/>
        <w:spacing w:line="360" w:lineRule="auto"/>
        <w:ind w:left="567" w:right="618" w:firstLine="0"/>
        <w:rPr>
          <w:rFonts w:ascii="Century Gothic" w:hAnsi="Century Gothic" w:cs="Arial"/>
          <w:b w:val="0"/>
          <w:color w:val="auto"/>
          <w:szCs w:val="26"/>
        </w:rPr>
      </w:pPr>
    </w:p>
    <w:p w:rsidR="00DB1EAF" w:rsidRDefault="00DB1EAF" w:rsidP="00DB1EAF">
      <w:pPr>
        <w:pStyle w:val="Sangradetextonormal"/>
        <w:spacing w:line="360" w:lineRule="auto"/>
        <w:ind w:left="567" w:right="616" w:firstLine="0"/>
        <w:rPr>
          <w:rFonts w:ascii="Century Gothic" w:hAnsi="Century Gothic" w:cs="Arial"/>
          <w:b w:val="0"/>
          <w:color w:val="auto"/>
          <w:szCs w:val="24"/>
        </w:rPr>
      </w:pPr>
      <w:r>
        <w:rPr>
          <w:rFonts w:ascii="Century Gothic" w:hAnsi="Century Gothic" w:cs="Arial"/>
          <w:b w:val="0"/>
          <w:color w:val="auto"/>
          <w:szCs w:val="24"/>
        </w:rPr>
        <w:t>Recurso de Reclamación Núm. 472/2019. Resuelto por la Sala Superior del Tribunal de Justicia Administrativa del Estado de Jalisco, en sesión de 6 de junio de 2019, por unanimidad de votos. Magistrado Ponente: José Ramón Jiménez Gutiérrez. Secretario: Ulises Omar Ayala Espinosa.</w:t>
      </w:r>
    </w:p>
    <w:p w:rsidR="00DB1EAF" w:rsidRDefault="00DB1EAF" w:rsidP="00DB1EAF">
      <w:pPr>
        <w:pStyle w:val="Sangradetextonormal"/>
        <w:spacing w:line="360" w:lineRule="auto"/>
        <w:ind w:left="567" w:right="616" w:firstLine="0"/>
        <w:rPr>
          <w:rFonts w:ascii="Century Gothic" w:hAnsi="Century Gothic" w:cs="Arial"/>
          <w:b w:val="0"/>
          <w:color w:val="auto"/>
          <w:szCs w:val="24"/>
        </w:rPr>
      </w:pPr>
    </w:p>
    <w:p w:rsidR="00DB1EAF" w:rsidRDefault="00DB1EAF" w:rsidP="00DB1EAF">
      <w:pPr>
        <w:pStyle w:val="Sangradetextonormal"/>
        <w:spacing w:line="360" w:lineRule="auto"/>
        <w:ind w:left="567" w:right="616" w:firstLine="0"/>
        <w:rPr>
          <w:rFonts w:ascii="Century Gothic" w:hAnsi="Century Gothic" w:cs="Arial"/>
          <w:b w:val="0"/>
          <w:color w:val="auto"/>
          <w:szCs w:val="24"/>
        </w:rPr>
      </w:pPr>
      <w:r>
        <w:rPr>
          <w:rFonts w:ascii="Century Gothic" w:hAnsi="Century Gothic" w:cs="Arial"/>
          <w:b w:val="0"/>
          <w:color w:val="auto"/>
          <w:szCs w:val="24"/>
        </w:rPr>
        <w:t xml:space="preserve">Recurso de Reclamación Núm. 822/2020. Resuelto por la Sala Superior del Tribunal de Justicia Administrativa del Estado de Jalisco, en sesión de 7 de diciembre de 2020, por unanimidad de </w:t>
      </w:r>
      <w:r>
        <w:rPr>
          <w:rFonts w:ascii="Century Gothic" w:hAnsi="Century Gothic" w:cs="Arial"/>
          <w:b w:val="0"/>
          <w:color w:val="auto"/>
          <w:szCs w:val="24"/>
        </w:rPr>
        <w:lastRenderedPageBreak/>
        <w:t>votos. Magistrado Ponente: José Ramón Jiménez Gutiérrez. Secretario: Miguel Ángel García Domínguez.</w:t>
      </w:r>
    </w:p>
    <w:p w:rsidR="00DB1EAF" w:rsidRDefault="00DB1EAF" w:rsidP="00DB1EAF">
      <w:pPr>
        <w:pStyle w:val="Sangradetextonormal"/>
        <w:spacing w:line="360" w:lineRule="auto"/>
        <w:ind w:left="567" w:right="618" w:firstLine="0"/>
        <w:rPr>
          <w:rFonts w:ascii="Century Gothic" w:hAnsi="Century Gothic" w:cs="Arial"/>
          <w:b w:val="0"/>
          <w:color w:val="auto"/>
          <w:szCs w:val="26"/>
        </w:rPr>
      </w:pPr>
    </w:p>
    <w:p w:rsidR="00A31428" w:rsidRPr="00DB1EAF" w:rsidRDefault="00DB1EAF" w:rsidP="00DB1EAF">
      <w:r>
        <w:rPr>
          <w:rFonts w:ascii="Century Gothic" w:hAnsi="Century Gothic" w:cs="Arial"/>
        </w:rPr>
        <w:t xml:space="preserve">Recurso de Reclamación Núm. 654/2021. Resuelto por la Sala Superior del Tribunal de Justicia Administrativa del Estado de Jalisco, </w:t>
      </w:r>
      <w:proofErr w:type="gramStart"/>
      <w:r>
        <w:rPr>
          <w:rFonts w:ascii="Century Gothic" w:hAnsi="Century Gothic" w:cs="Arial"/>
        </w:rPr>
        <w:t>en  sesión</w:t>
      </w:r>
      <w:proofErr w:type="gramEnd"/>
      <w:r>
        <w:rPr>
          <w:rFonts w:ascii="Century Gothic" w:hAnsi="Century Gothic" w:cs="Arial"/>
        </w:rPr>
        <w:t xml:space="preserve"> de 1 de julio de 2021, por unanimidad de votos. Magistrado Ponente: José Ramón Jiménez Gutiérrez. Secretario: Miguel Ángel García Domínguez.</w:t>
      </w:r>
    </w:p>
    <w:sectPr w:rsidR="00A31428" w:rsidRPr="00DB1EAF" w:rsidSect="00DB1EAF">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AF"/>
    <w:rsid w:val="00A31428"/>
    <w:rsid w:val="00DB1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14A6D-E5D3-4DE1-9725-A9712CA7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EAF"/>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unhideWhenUsed/>
    <w:rsid w:val="00DB1EAF"/>
    <w:pPr>
      <w:widowControl/>
      <w:ind w:firstLine="1416"/>
      <w:jc w:val="both"/>
    </w:pPr>
    <w:rPr>
      <w:rFonts w:ascii="Arial" w:eastAsia="Times New Roman" w:hAnsi="Arial"/>
      <w:b/>
      <w:color w:val="000080"/>
      <w:kern w:val="0"/>
      <w:szCs w:val="20"/>
      <w:lang w:eastAsia="ar-SA"/>
    </w:rPr>
  </w:style>
  <w:style w:type="character" w:customStyle="1" w:styleId="SangradetextonormalCar">
    <w:name w:val="Sangría de texto normal Car"/>
    <w:basedOn w:val="Fuentedeprrafopredeter"/>
    <w:link w:val="Sangradetextonormal"/>
    <w:semiHidden/>
    <w:rsid w:val="00DB1EAF"/>
    <w:rPr>
      <w:rFonts w:ascii="Arial" w:eastAsia="Times New Roman" w:hAnsi="Arial" w:cs="Times New Roman"/>
      <w:b/>
      <w:color w:val="00008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1865</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jjuarez</dc:creator>
  <cp:keywords/>
  <dc:description/>
  <cp:lastModifiedBy>jjuarez</cp:lastModifiedBy>
  <cp:revision>1</cp:revision>
  <dcterms:created xsi:type="dcterms:W3CDTF">2021-09-20T17:23:00Z</dcterms:created>
  <dcterms:modified xsi:type="dcterms:W3CDTF">2021-09-20T17:25:00Z</dcterms:modified>
</cp:coreProperties>
</file>