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F89" w:rsidRDefault="009E2F89" w:rsidP="009E2F89">
      <w:pPr>
        <w:ind w:left="567" w:right="51"/>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rsidR="009E2F89" w:rsidRDefault="009E2F89" w:rsidP="009E2F89">
      <w:pPr>
        <w:tabs>
          <w:tab w:val="left" w:pos="6946"/>
        </w:tabs>
        <w:ind w:left="567" w:right="51"/>
        <w:jc w:val="both"/>
        <w:rPr>
          <w:rFonts w:ascii="Century Gothic" w:eastAsia="Times New Roman" w:hAnsi="Century Gothic"/>
          <w:sz w:val="22"/>
          <w:szCs w:val="22"/>
          <w:lang w:eastAsia="ar-SA"/>
        </w:rPr>
      </w:pPr>
      <w:r>
        <w:rPr>
          <w:rFonts w:ascii="Century Gothic" w:eastAsia="Times New Roman" w:hAnsi="Century Gothic"/>
          <w:lang w:eastAsia="ar-SA"/>
        </w:rPr>
        <w:t>Número de Registro 1/12ORD/SS/JA</w:t>
      </w:r>
    </w:p>
    <w:p w:rsidR="009E2F89" w:rsidRDefault="009E2F89" w:rsidP="009E2F89">
      <w:pPr>
        <w:tabs>
          <w:tab w:val="left" w:pos="6946"/>
        </w:tabs>
        <w:ind w:left="567" w:right="51"/>
        <w:jc w:val="both"/>
        <w:rPr>
          <w:rFonts w:ascii="Century Gothic" w:eastAsia="Times New Roman" w:hAnsi="Century Gothic"/>
          <w:lang w:eastAsia="ar-SA"/>
        </w:rPr>
      </w:pPr>
      <w:r>
        <w:rPr>
          <w:rFonts w:ascii="Century Gothic" w:eastAsia="Times New Roman" w:hAnsi="Century Gothic"/>
          <w:lang w:eastAsia="ar-SA"/>
        </w:rPr>
        <w:t>Precedente</w:t>
      </w:r>
    </w:p>
    <w:p w:rsidR="009E2F89" w:rsidRDefault="009E2F89" w:rsidP="009E2F89">
      <w:pPr>
        <w:tabs>
          <w:tab w:val="left" w:pos="6946"/>
        </w:tabs>
        <w:ind w:left="567" w:right="51"/>
        <w:jc w:val="both"/>
        <w:rPr>
          <w:rFonts w:ascii="Century Gothic" w:eastAsia="Times New Roman" w:hAnsi="Century Gothic"/>
          <w:lang w:eastAsia="ar-SA"/>
        </w:rPr>
      </w:pPr>
      <w:r>
        <w:rPr>
          <w:rFonts w:ascii="Century Gothic" w:eastAsia="Times New Roman" w:hAnsi="Century Gothic"/>
          <w:lang w:eastAsia="ar-SA"/>
        </w:rPr>
        <w:t>Tomo I 2021</w:t>
      </w:r>
    </w:p>
    <w:p w:rsidR="009E2F89" w:rsidRDefault="009E2F89" w:rsidP="009E2F89">
      <w:pPr>
        <w:spacing w:line="360" w:lineRule="auto"/>
        <w:ind w:left="567" w:right="51"/>
        <w:jc w:val="both"/>
        <w:rPr>
          <w:rFonts w:ascii="Century Gothic" w:hAnsi="Century Gothic"/>
          <w:b/>
        </w:rPr>
      </w:pPr>
    </w:p>
    <w:p w:rsidR="009E2F89" w:rsidRPr="004539F3" w:rsidRDefault="009E2F89" w:rsidP="009E2F89">
      <w:pPr>
        <w:spacing w:line="360" w:lineRule="auto"/>
        <w:ind w:left="567" w:right="51"/>
        <w:jc w:val="both"/>
        <w:rPr>
          <w:rFonts w:ascii="Century Gothic" w:hAnsi="Century Gothic"/>
          <w:lang w:val="es-ES"/>
        </w:rPr>
      </w:pPr>
      <w:r>
        <w:rPr>
          <w:rFonts w:ascii="Century Gothic" w:hAnsi="Century Gothic"/>
          <w:b/>
        </w:rPr>
        <w:t xml:space="preserve">RECURSO DE RECLAMACIÓN. DERIVADO DE LOS PROCEDIMIENTOS DE RESPONSABILIDADES ADMINISTRATIVAS DE LOS SERVIDORES PÚBLICOS, NO LE SON APLICABLES LAS REGLAS ESTABLECIDAS EN LA LEY DE JUSTICIA ADMINISTRATIVA DEL ESTADO DE JALISCO PARA SU TRAMITACIÓN. </w:t>
      </w:r>
      <w:r>
        <w:rPr>
          <w:rFonts w:ascii="Century Gothic" w:hAnsi="Century Gothic"/>
          <w:lang w:val="es-ES"/>
        </w:rPr>
        <w:t>L</w:t>
      </w:r>
      <w:r w:rsidRPr="00662E86">
        <w:rPr>
          <w:rFonts w:ascii="Century Gothic" w:hAnsi="Century Gothic"/>
          <w:lang w:val="es-ES"/>
        </w:rPr>
        <w:t>a competencia para conocer</w:t>
      </w:r>
      <w:r>
        <w:rPr>
          <w:rFonts w:ascii="Century Gothic" w:hAnsi="Century Gothic"/>
          <w:lang w:val="es-ES"/>
        </w:rPr>
        <w:t xml:space="preserve"> del recurso de reclamación </w:t>
      </w:r>
      <w:r w:rsidRPr="00662E86">
        <w:rPr>
          <w:rFonts w:ascii="Century Gothic" w:hAnsi="Century Gothic"/>
          <w:lang w:val="es-ES"/>
        </w:rPr>
        <w:t xml:space="preserve">en </w:t>
      </w:r>
      <w:r>
        <w:rPr>
          <w:rFonts w:ascii="Century Gothic" w:hAnsi="Century Gothic"/>
          <w:lang w:val="es-ES"/>
        </w:rPr>
        <w:t>m</w:t>
      </w:r>
      <w:r w:rsidRPr="00662E86">
        <w:rPr>
          <w:rFonts w:ascii="Century Gothic" w:hAnsi="Century Gothic"/>
          <w:lang w:val="es-ES"/>
        </w:rPr>
        <w:t xml:space="preserve">ateria de </w:t>
      </w:r>
      <w:r>
        <w:rPr>
          <w:rFonts w:ascii="Century Gothic" w:hAnsi="Century Gothic"/>
          <w:lang w:val="es-ES"/>
        </w:rPr>
        <w:t>r</w:t>
      </w:r>
      <w:r w:rsidRPr="00662E86">
        <w:rPr>
          <w:rFonts w:ascii="Century Gothic" w:hAnsi="Century Gothic"/>
          <w:lang w:val="es-ES"/>
        </w:rPr>
        <w:t xml:space="preserve">esponsabilidades </w:t>
      </w:r>
      <w:r>
        <w:rPr>
          <w:rFonts w:ascii="Century Gothic" w:hAnsi="Century Gothic"/>
          <w:lang w:val="es-ES"/>
        </w:rPr>
        <w:t>a</w:t>
      </w:r>
      <w:r w:rsidRPr="00662E86">
        <w:rPr>
          <w:rFonts w:ascii="Century Gothic" w:hAnsi="Century Gothic"/>
          <w:lang w:val="es-ES"/>
        </w:rPr>
        <w:t>dministrativas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aquellas que admitan o rechacen la intervención del tercero interesado que señala la Ley General de Responsabilidades Administrativa</w:t>
      </w:r>
      <w:r>
        <w:rPr>
          <w:rFonts w:ascii="Century Gothic" w:hAnsi="Century Gothic"/>
          <w:lang w:val="es-ES"/>
        </w:rPr>
        <w:t>s</w:t>
      </w:r>
      <w:r w:rsidRPr="00662E86">
        <w:rPr>
          <w:rFonts w:ascii="Century Gothic" w:hAnsi="Century Gothic"/>
          <w:lang w:val="es-ES"/>
        </w:rPr>
        <w:t>;</w:t>
      </w:r>
      <w:r>
        <w:rPr>
          <w:rFonts w:ascii="Century Gothic" w:hAnsi="Century Gothic"/>
          <w:lang w:val="es-ES"/>
        </w:rPr>
        <w:t xml:space="preserve"> </w:t>
      </w:r>
      <w:r w:rsidRPr="00DE65D7">
        <w:rPr>
          <w:rFonts w:ascii="Century Gothic" w:hAnsi="Century Gothic"/>
          <w:lang w:val="es-ES"/>
        </w:rPr>
        <w:t xml:space="preserve">recae en la autoridad </w:t>
      </w:r>
      <w:r w:rsidRPr="00DE65D7">
        <w:rPr>
          <w:rFonts w:ascii="Century Gothic" w:hAnsi="Century Gothic"/>
          <w:i/>
          <w:iCs/>
          <w:lang w:val="es-ES"/>
        </w:rPr>
        <w:t>substanciadora o resolutora</w:t>
      </w:r>
      <w:r w:rsidRPr="00DE65D7">
        <w:rPr>
          <w:rFonts w:ascii="Century Gothic" w:hAnsi="Century Gothic"/>
          <w:lang w:val="es-ES"/>
        </w:rPr>
        <w:t xml:space="preserve"> que dictó el auto impugnado</w:t>
      </w:r>
      <w:r>
        <w:rPr>
          <w:rFonts w:ascii="Century Gothic" w:hAnsi="Century Gothic"/>
          <w:lang w:val="es-ES"/>
        </w:rPr>
        <w:t>;</w:t>
      </w:r>
      <w:r w:rsidRPr="00DE65D7">
        <w:rPr>
          <w:rFonts w:ascii="Century Gothic" w:hAnsi="Century Gothic"/>
          <w:lang w:val="es-ES"/>
        </w:rPr>
        <w:t xml:space="preserve"> por tanto, se concluye que</w:t>
      </w:r>
      <w:r>
        <w:rPr>
          <w:rFonts w:ascii="Century Gothic" w:hAnsi="Century Gothic"/>
          <w:lang w:val="es-ES"/>
        </w:rPr>
        <w:t>,</w:t>
      </w:r>
      <w:r w:rsidRPr="00DE65D7">
        <w:rPr>
          <w:rFonts w:ascii="Century Gothic" w:hAnsi="Century Gothic"/>
          <w:lang w:val="es-ES"/>
        </w:rPr>
        <w:t xml:space="preserve"> tratándose de recursos de reclamación interpuestos en contra de autos de la sala unitaria</w:t>
      </w:r>
      <w:r>
        <w:rPr>
          <w:rFonts w:ascii="Century Gothic" w:hAnsi="Century Gothic"/>
          <w:lang w:val="es-ES"/>
        </w:rPr>
        <w:t xml:space="preserve"> dictados en procedimientos de responsabilidades administrativas de los servidores públicos,</w:t>
      </w:r>
      <w:r w:rsidRPr="00DE65D7">
        <w:rPr>
          <w:rFonts w:ascii="Century Gothic" w:hAnsi="Century Gothic"/>
          <w:lang w:val="es-ES"/>
        </w:rPr>
        <w:t xml:space="preserve"> </w:t>
      </w:r>
      <w:r>
        <w:rPr>
          <w:rFonts w:ascii="Century Gothic" w:hAnsi="Century Gothic"/>
          <w:lang w:val="es-ES"/>
        </w:rPr>
        <w:t xml:space="preserve">estos </w:t>
      </w:r>
      <w:r w:rsidRPr="00DE65D7">
        <w:rPr>
          <w:rFonts w:ascii="Century Gothic" w:hAnsi="Century Gothic"/>
          <w:lang w:val="es-ES"/>
        </w:rPr>
        <w:t>serán resueltos por las salas unitarias</w:t>
      </w:r>
      <w:r>
        <w:rPr>
          <w:rFonts w:ascii="Century Gothic" w:hAnsi="Century Gothic"/>
          <w:lang w:val="es-ES"/>
        </w:rPr>
        <w:t xml:space="preserve"> y no la Sala Superior</w:t>
      </w:r>
      <w:r w:rsidRPr="00DE65D7">
        <w:rPr>
          <w:rFonts w:ascii="Century Gothic" w:hAnsi="Century Gothic"/>
          <w:lang w:val="es-ES"/>
        </w:rPr>
        <w:t xml:space="preserve"> de este Tribunal de Justicia Administrativa, dado que</w:t>
      </w:r>
      <w:r>
        <w:rPr>
          <w:rFonts w:ascii="Century Gothic" w:hAnsi="Century Gothic"/>
          <w:lang w:val="es-ES"/>
        </w:rPr>
        <w:t>.</w:t>
      </w:r>
      <w:r w:rsidRPr="00DE65D7">
        <w:rPr>
          <w:rFonts w:ascii="Century Gothic" w:hAnsi="Century Gothic"/>
          <w:lang w:val="es-ES"/>
        </w:rPr>
        <w:t xml:space="preserve"> al </w:t>
      </w:r>
      <w:r w:rsidRPr="00662E86">
        <w:rPr>
          <w:rFonts w:ascii="Century Gothic" w:hAnsi="Century Gothic"/>
          <w:lang w:val="es-ES"/>
        </w:rPr>
        <w:t>tratarse de un recurso especial previsto en la Ley de Responsabilidades Políticas y Administrativas del Estado de Jalisco, en relación a la Ley General de Responsabilidades Administrativas, no le resultan aplicables las reglas generales establecidas en los artículos 89 a 94 de la Ley de Justicia Administrativa del Estado de Jalisco, debiéndose resolver bajo las reglas establecidas en la ley especial.</w:t>
      </w:r>
    </w:p>
    <w:p w:rsidR="009E2F89" w:rsidRDefault="009E2F89" w:rsidP="009E2F89">
      <w:pPr>
        <w:spacing w:line="360" w:lineRule="auto"/>
        <w:ind w:left="567" w:right="51"/>
        <w:jc w:val="both"/>
        <w:rPr>
          <w:rFonts w:ascii="Century Gothic" w:hAnsi="Century Gothic"/>
        </w:rPr>
      </w:pPr>
    </w:p>
    <w:p w:rsidR="009E2F89" w:rsidRDefault="009E2F89" w:rsidP="009E2F89">
      <w:pPr>
        <w:spacing w:line="360" w:lineRule="auto"/>
        <w:ind w:left="567" w:right="51"/>
        <w:jc w:val="both"/>
        <w:rPr>
          <w:rFonts w:ascii="Century Gothic" w:hAnsi="Century Gothic"/>
        </w:rPr>
      </w:pPr>
      <w:r>
        <w:rPr>
          <w:rFonts w:ascii="Century Gothic" w:hAnsi="Century Gothic"/>
        </w:rPr>
        <w:t>PRECEDENTES:</w:t>
      </w:r>
    </w:p>
    <w:p w:rsidR="00412399" w:rsidRDefault="009E2F89" w:rsidP="009E2F89">
      <w:r>
        <w:rPr>
          <w:rFonts w:ascii="Century Gothic" w:hAnsi="Century Gothic"/>
        </w:rPr>
        <w:t xml:space="preserve">Recurso de Reclamación Núm. 2/2021. </w:t>
      </w:r>
      <w:r w:rsidRPr="003560A9">
        <w:rPr>
          <w:rFonts w:ascii="Century Gothic" w:hAnsi="Century Gothic"/>
          <w:lang w:val="es-ES"/>
        </w:rPr>
        <w:t xml:space="preserve">Procedimiento </w:t>
      </w:r>
      <w:r>
        <w:rPr>
          <w:rFonts w:ascii="Century Gothic" w:hAnsi="Century Gothic"/>
          <w:lang w:val="es-ES"/>
        </w:rPr>
        <w:t>d</w:t>
      </w:r>
      <w:r w:rsidRPr="003560A9">
        <w:rPr>
          <w:rFonts w:ascii="Century Gothic" w:hAnsi="Century Gothic"/>
          <w:lang w:val="es-ES"/>
        </w:rPr>
        <w:t xml:space="preserve">e Responsabilidad Administrativa </w:t>
      </w:r>
      <w:r>
        <w:rPr>
          <w:rFonts w:ascii="Century Gothic" w:hAnsi="Century Gothic"/>
          <w:lang w:val="es-ES"/>
        </w:rPr>
        <w:t>p</w:t>
      </w:r>
      <w:r w:rsidRPr="003560A9">
        <w:rPr>
          <w:rFonts w:ascii="Century Gothic" w:hAnsi="Century Gothic"/>
          <w:lang w:val="es-ES"/>
        </w:rPr>
        <w:t xml:space="preserve">or </w:t>
      </w:r>
      <w:r>
        <w:rPr>
          <w:rFonts w:ascii="Century Gothic" w:hAnsi="Century Gothic"/>
          <w:lang w:val="es-ES"/>
        </w:rPr>
        <w:t>f</w:t>
      </w:r>
      <w:r w:rsidRPr="003560A9">
        <w:rPr>
          <w:rFonts w:ascii="Century Gothic" w:hAnsi="Century Gothic"/>
          <w:lang w:val="es-ES"/>
        </w:rPr>
        <w:t xml:space="preserve">alta </w:t>
      </w:r>
      <w:r>
        <w:rPr>
          <w:rFonts w:ascii="Century Gothic" w:hAnsi="Century Gothic"/>
          <w:lang w:val="es-ES"/>
        </w:rPr>
        <w:t>g</w:t>
      </w:r>
      <w:r w:rsidRPr="003560A9">
        <w:rPr>
          <w:rFonts w:ascii="Century Gothic" w:hAnsi="Century Gothic"/>
          <w:lang w:val="es-ES"/>
        </w:rPr>
        <w:t>rave</w:t>
      </w:r>
      <w:r>
        <w:rPr>
          <w:rFonts w:ascii="Century Gothic" w:hAnsi="Century Gothic"/>
          <w:lang w:val="es-ES"/>
        </w:rPr>
        <w:t>.</w:t>
      </w:r>
      <w:r w:rsidRPr="003560A9">
        <w:rPr>
          <w:rFonts w:ascii="Century Gothic" w:hAnsi="Century Gothic"/>
        </w:rPr>
        <w:t xml:space="preserve"> </w:t>
      </w:r>
      <w:r>
        <w:rPr>
          <w:rFonts w:ascii="Century Gothic" w:hAnsi="Century Gothic"/>
        </w:rPr>
        <w:t>Resuelto por la Sala Superior del Tribunal de Justicia Administrativa del Estado de Jalisco, en sesión de 11 de marzo de 2021, por unanimidad de votos. Magistrado Ponente: José Ramón Jiménez Gutiérrez. Secretario: Miguel Ángel García Domínguez.</w:t>
      </w:r>
      <w:bookmarkStart w:id="0" w:name="_GoBack"/>
      <w:bookmarkEnd w:id="0"/>
    </w:p>
    <w:sectPr w:rsidR="00412399" w:rsidSect="009E2F8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89"/>
    <w:rsid w:val="00412399"/>
    <w:rsid w:val="009E2F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6B62-5106-4EBD-8B6A-2AE5304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F89"/>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2E6D-C393-4DE4-B75C-E135F250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2021-09-20T17:37:00Z</dcterms:created>
  <dcterms:modified xsi:type="dcterms:W3CDTF">2021-09-20T17:38:00Z</dcterms:modified>
</cp:coreProperties>
</file>